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44" w:rsidRPr="00C2462F" w:rsidRDefault="00A71B44" w:rsidP="00A71B44">
      <w:pPr>
        <w:spacing w:after="0" w:line="240" w:lineRule="auto"/>
      </w:pPr>
      <w:r w:rsidRPr="00C2462F">
        <w:t>ELS support</w:t>
      </w:r>
      <w:r w:rsidR="003667D7">
        <w:t>s</w:t>
      </w:r>
      <w:r w:rsidRPr="00C2462F">
        <w:t xml:space="preserve"> the </w:t>
      </w:r>
      <w:r w:rsidRPr="00C2462F">
        <w:rPr>
          <w:color w:val="000000" w:themeColor="text1"/>
        </w:rPr>
        <w:t xml:space="preserve">public, </w:t>
      </w:r>
      <w:r w:rsidR="00C2462F" w:rsidRPr="00C2462F">
        <w:rPr>
          <w:color w:val="000000" w:themeColor="text1"/>
        </w:rPr>
        <w:t xml:space="preserve">private </w:t>
      </w:r>
      <w:r w:rsidRPr="00C2462F">
        <w:rPr>
          <w:color w:val="000000" w:themeColor="text1"/>
        </w:rPr>
        <w:t xml:space="preserve">and charity </w:t>
      </w:r>
      <w:r w:rsidRPr="00C2462F">
        <w:t xml:space="preserve">sectors that require employment legal advice including: </w:t>
      </w:r>
    </w:p>
    <w:p w:rsidR="00A71B44" w:rsidRPr="00C2462F" w:rsidRDefault="00A71B44" w:rsidP="00A71B44">
      <w:pPr>
        <w:spacing w:after="0" w:line="240" w:lineRule="auto"/>
      </w:pPr>
    </w:p>
    <w:p w:rsidR="00697116" w:rsidRDefault="00697116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  <w:sectPr w:rsidR="00697116" w:rsidSect="00B627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410" w:right="1440" w:bottom="2694" w:left="1440" w:header="708" w:footer="708" w:gutter="0"/>
          <w:cols w:space="708"/>
          <w:docGrid w:linePitch="360"/>
        </w:sectPr>
      </w:pP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 xml:space="preserve">Discrimination claims 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 xml:space="preserve">Maternity or pregnancy related claims 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Holiday pay claims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TUPE</w:t>
      </w:r>
    </w:p>
    <w:p w:rsidR="00A71B44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 xml:space="preserve">Whistleblowing </w:t>
      </w:r>
    </w:p>
    <w:p w:rsidR="00C2462F" w:rsidRPr="00C2462F" w:rsidRDefault="00C2462F" w:rsidP="00C2462F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Court of Appeal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Employment tribunal claim</w:t>
      </w:r>
      <w:r w:rsidR="003B25E0">
        <w:rPr>
          <w:rFonts w:ascii="Arial" w:hAnsi="Arial" w:cs="Arial"/>
          <w:sz w:val="24"/>
          <w:szCs w:val="24"/>
        </w:rPr>
        <w:t>s</w:t>
      </w:r>
      <w:r w:rsidRPr="00C2462F">
        <w:rPr>
          <w:rFonts w:ascii="Arial" w:hAnsi="Arial" w:cs="Arial"/>
          <w:sz w:val="24"/>
          <w:szCs w:val="24"/>
        </w:rPr>
        <w:t xml:space="preserve"> </w:t>
      </w:r>
    </w:p>
    <w:p w:rsidR="00697116" w:rsidRDefault="00697116" w:rsidP="00A71B44">
      <w:pPr>
        <w:spacing w:after="0" w:line="240" w:lineRule="auto"/>
        <w:sectPr w:rsidR="00697116" w:rsidSect="00697116">
          <w:type w:val="continuous"/>
          <w:pgSz w:w="11906" w:h="16838"/>
          <w:pgMar w:top="2269" w:right="1440" w:bottom="2694" w:left="1440" w:header="708" w:footer="708" w:gutter="0"/>
          <w:cols w:num="2" w:space="708"/>
          <w:docGrid w:linePitch="360"/>
        </w:sectPr>
      </w:pPr>
    </w:p>
    <w:p w:rsidR="00A71B44" w:rsidRPr="00C2462F" w:rsidRDefault="00A71B44" w:rsidP="00A71B44">
      <w:pPr>
        <w:spacing w:after="0" w:line="240" w:lineRule="auto"/>
      </w:pPr>
    </w:p>
    <w:p w:rsidR="00A71B44" w:rsidRDefault="00A71B44" w:rsidP="00A71B44">
      <w:pPr>
        <w:spacing w:after="0" w:line="240" w:lineRule="auto"/>
      </w:pPr>
      <w:r>
        <w:t>Our</w:t>
      </w:r>
      <w:r w:rsidRPr="003243F2">
        <w:t xml:space="preserve"> Employment Team works with </w:t>
      </w:r>
      <w:r>
        <w:t>clients</w:t>
      </w:r>
      <w:r w:rsidRPr="003243F2">
        <w:t xml:space="preserve"> to resolve conflicts and to offer practical solutions, whether it is resolving disputes, build</w:t>
      </w:r>
      <w:r>
        <w:t>ing</w:t>
      </w:r>
      <w:r w:rsidRPr="003243F2">
        <w:t xml:space="preserve"> the best resourcing structure, or assisting with employment processes and legislation.</w:t>
      </w:r>
    </w:p>
    <w:p w:rsidR="00A71B44" w:rsidRDefault="00A71B44" w:rsidP="00A71B44">
      <w:pPr>
        <w:spacing w:after="0" w:line="240" w:lineRule="auto"/>
      </w:pPr>
    </w:p>
    <w:p w:rsidR="00A71B44" w:rsidRDefault="00A71B44" w:rsidP="00A71B44">
      <w:pPr>
        <w:spacing w:after="0" w:line="240" w:lineRule="auto"/>
        <w:rPr>
          <w:b/>
        </w:rPr>
      </w:pPr>
      <w:r w:rsidRPr="00B751F8">
        <w:rPr>
          <w:b/>
        </w:rPr>
        <w:t xml:space="preserve">Our Charge </w:t>
      </w:r>
      <w:r w:rsidR="003141E4">
        <w:rPr>
          <w:b/>
        </w:rPr>
        <w:t>Out R</w:t>
      </w:r>
      <w:r w:rsidRPr="00B751F8">
        <w:rPr>
          <w:b/>
        </w:rPr>
        <w:t>ates</w:t>
      </w:r>
      <w:r w:rsidR="00C2462F">
        <w:rPr>
          <w:b/>
        </w:rPr>
        <w:t xml:space="preserve"> </w:t>
      </w:r>
    </w:p>
    <w:p w:rsidR="00697116" w:rsidRDefault="00697116" w:rsidP="00A71B44">
      <w:pPr>
        <w:spacing w:after="0" w:line="240" w:lineRule="auto"/>
        <w:rPr>
          <w:b/>
        </w:rPr>
      </w:pPr>
    </w:p>
    <w:p w:rsidR="00697116" w:rsidRDefault="00697116" w:rsidP="00697116">
      <w:pPr>
        <w:spacing w:after="0"/>
      </w:pPr>
      <w:r>
        <w:t>ELS provide</w:t>
      </w:r>
      <w:r w:rsidR="003667D7">
        <w:t>s</w:t>
      </w:r>
      <w:r>
        <w:t xml:space="preserve"> services to a number of different organisations and </w:t>
      </w:r>
      <w:r w:rsidR="003667D7">
        <w:t>is</w:t>
      </w:r>
      <w:r>
        <w:t xml:space="preserve"> part of several framework agreements which may have different charge rates. We will confirm the charge rate and the expected cost to deal with a matter at the start of each case.</w:t>
      </w:r>
      <w:r w:rsidR="003141E4">
        <w:t xml:space="preserve">  The rates below will apply where an agreed pricing arrangement is not in place.</w:t>
      </w:r>
    </w:p>
    <w:p w:rsidR="00B627CD" w:rsidRDefault="00697116" w:rsidP="007B5AB4">
      <w:pPr>
        <w:spacing w:after="0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830"/>
        <w:gridCol w:w="2920"/>
        <w:gridCol w:w="1736"/>
      </w:tblGrid>
      <w:tr w:rsidR="007A64F3" w:rsidTr="00B627CD"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</w:tcPr>
          <w:p w:rsidR="007A64F3" w:rsidRDefault="007A64F3" w:rsidP="00032ABE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F3" w:rsidRDefault="007A64F3" w:rsidP="00032ABE">
            <w:r>
              <w:t xml:space="preserve">Year qualified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</w:tcBorders>
          </w:tcPr>
          <w:p w:rsidR="007A64F3" w:rsidRDefault="007A64F3" w:rsidP="00032ABE"/>
        </w:tc>
        <w:tc>
          <w:tcPr>
            <w:tcW w:w="1763" w:type="dxa"/>
          </w:tcPr>
          <w:p w:rsidR="007A64F3" w:rsidRDefault="00862943" w:rsidP="00C4133A">
            <w:pPr>
              <w:jc w:val="center"/>
            </w:pPr>
            <w:r>
              <w:t>(</w:t>
            </w:r>
            <w:r w:rsidR="00D73F24">
              <w:t xml:space="preserve">Excluding </w:t>
            </w:r>
            <w:r w:rsidR="007A64F3">
              <w:t>VAT</w:t>
            </w:r>
            <w:r>
              <w:t>)</w:t>
            </w:r>
          </w:p>
        </w:tc>
      </w:tr>
      <w:tr w:rsidR="007A64F3" w:rsidTr="00B627CD">
        <w:tc>
          <w:tcPr>
            <w:tcW w:w="2625" w:type="dxa"/>
          </w:tcPr>
          <w:p w:rsidR="007A64F3" w:rsidRDefault="005C0CFA" w:rsidP="00032ABE">
            <w:hyperlink r:id="rId14" w:history="1">
              <w:r w:rsidR="007A64F3" w:rsidRPr="008A012A">
                <w:rPr>
                  <w:rStyle w:val="Hyperlink"/>
                  <w:color w:val="auto"/>
                </w:rPr>
                <w:t>Emma Thomas</w:t>
              </w:r>
            </w:hyperlink>
          </w:p>
        </w:tc>
        <w:tc>
          <w:tcPr>
            <w:tcW w:w="1878" w:type="dxa"/>
          </w:tcPr>
          <w:p w:rsidR="007A64F3" w:rsidRPr="00E07D15" w:rsidRDefault="00FD48E2" w:rsidP="00FD48E2">
            <w:pPr>
              <w:jc w:val="center"/>
            </w:pPr>
            <w:r>
              <w:t>200</w:t>
            </w:r>
            <w:r w:rsidRPr="00FD48E2">
              <w:t>4</w:t>
            </w:r>
          </w:p>
        </w:tc>
        <w:tc>
          <w:tcPr>
            <w:tcW w:w="2976" w:type="dxa"/>
          </w:tcPr>
          <w:p w:rsidR="007A64F3" w:rsidRDefault="007A64F3" w:rsidP="00032ABE">
            <w:r w:rsidRPr="00E07D15">
              <w:t>Legal Service Manager</w:t>
            </w:r>
            <w:r w:rsidR="001C4386">
              <w:t>/Solicitor</w:t>
            </w:r>
          </w:p>
        </w:tc>
        <w:tc>
          <w:tcPr>
            <w:tcW w:w="1763" w:type="dxa"/>
          </w:tcPr>
          <w:p w:rsidR="007A64F3" w:rsidRDefault="007A64F3" w:rsidP="00032ABE">
            <w:r w:rsidRPr="00E07D15">
              <w:t>£182 an hour</w:t>
            </w:r>
          </w:p>
        </w:tc>
      </w:tr>
      <w:tr w:rsidR="008A012A" w:rsidTr="00B627CD">
        <w:tc>
          <w:tcPr>
            <w:tcW w:w="2625" w:type="dxa"/>
          </w:tcPr>
          <w:p w:rsidR="008A012A" w:rsidRDefault="008A012A" w:rsidP="00032ABE">
            <w:r>
              <w:t>Omar Qassim</w:t>
            </w:r>
          </w:p>
        </w:tc>
        <w:tc>
          <w:tcPr>
            <w:tcW w:w="1878" w:type="dxa"/>
          </w:tcPr>
          <w:p w:rsidR="008A012A" w:rsidRDefault="008A012A" w:rsidP="00FD48E2">
            <w:pPr>
              <w:jc w:val="center"/>
            </w:pPr>
            <w:r>
              <w:t>1998</w:t>
            </w:r>
          </w:p>
        </w:tc>
        <w:tc>
          <w:tcPr>
            <w:tcW w:w="2976" w:type="dxa"/>
          </w:tcPr>
          <w:p w:rsidR="008A012A" w:rsidRPr="00E07D15" w:rsidRDefault="008A012A" w:rsidP="00032ABE">
            <w:r>
              <w:t xml:space="preserve">Supervising Associate </w:t>
            </w:r>
          </w:p>
        </w:tc>
        <w:tc>
          <w:tcPr>
            <w:tcW w:w="1763" w:type="dxa"/>
          </w:tcPr>
          <w:p w:rsidR="008A012A" w:rsidRPr="00E07D15" w:rsidRDefault="008A012A" w:rsidP="00032ABE">
            <w:r>
              <w:t>£114 an hour</w:t>
            </w:r>
          </w:p>
        </w:tc>
      </w:tr>
      <w:tr w:rsidR="008A012A" w:rsidTr="00B627CD">
        <w:tc>
          <w:tcPr>
            <w:tcW w:w="2625" w:type="dxa"/>
          </w:tcPr>
          <w:p w:rsidR="008A012A" w:rsidRDefault="008A012A" w:rsidP="00032ABE">
            <w:r>
              <w:t>Emily Mulleady</w:t>
            </w:r>
          </w:p>
        </w:tc>
        <w:tc>
          <w:tcPr>
            <w:tcW w:w="1878" w:type="dxa"/>
          </w:tcPr>
          <w:p w:rsidR="008A012A" w:rsidRDefault="008A012A" w:rsidP="00FD48E2">
            <w:pPr>
              <w:jc w:val="center"/>
            </w:pPr>
            <w:r>
              <w:t>2009</w:t>
            </w:r>
          </w:p>
        </w:tc>
        <w:tc>
          <w:tcPr>
            <w:tcW w:w="2976" w:type="dxa"/>
          </w:tcPr>
          <w:p w:rsidR="008A012A" w:rsidRDefault="008A012A" w:rsidP="00032ABE">
            <w:r>
              <w:t>Solicitor</w:t>
            </w:r>
          </w:p>
        </w:tc>
        <w:tc>
          <w:tcPr>
            <w:tcW w:w="1763" w:type="dxa"/>
          </w:tcPr>
          <w:p w:rsidR="008A012A" w:rsidRDefault="008A012A" w:rsidP="00032ABE">
            <w:r>
              <w:t>£</w:t>
            </w:r>
            <w:r w:rsidR="005C0CFA">
              <w:t>98 an hour</w:t>
            </w:r>
            <w:bookmarkStart w:id="0" w:name="_GoBack"/>
            <w:bookmarkEnd w:id="0"/>
          </w:p>
        </w:tc>
      </w:tr>
      <w:tr w:rsidR="007A64F3" w:rsidTr="00B627CD">
        <w:tc>
          <w:tcPr>
            <w:tcW w:w="2625" w:type="dxa"/>
          </w:tcPr>
          <w:p w:rsidR="007A64F3" w:rsidRDefault="008A012A" w:rsidP="00032ABE">
            <w:r>
              <w:t>Roshni Devlukia</w:t>
            </w:r>
          </w:p>
        </w:tc>
        <w:tc>
          <w:tcPr>
            <w:tcW w:w="1878" w:type="dxa"/>
            <w:shd w:val="pct50" w:color="auto" w:fill="auto"/>
          </w:tcPr>
          <w:p w:rsidR="007A64F3" w:rsidRDefault="007A64F3" w:rsidP="00032ABE"/>
        </w:tc>
        <w:tc>
          <w:tcPr>
            <w:tcW w:w="2976" w:type="dxa"/>
          </w:tcPr>
          <w:p w:rsidR="007A64F3" w:rsidRDefault="007A64F3" w:rsidP="00032ABE">
            <w:r>
              <w:t>C</w:t>
            </w:r>
            <w:r w:rsidRPr="00E07D15">
              <w:t>aseworker</w:t>
            </w:r>
          </w:p>
        </w:tc>
        <w:tc>
          <w:tcPr>
            <w:tcW w:w="1763" w:type="dxa"/>
          </w:tcPr>
          <w:p w:rsidR="007A64F3" w:rsidRDefault="007A64F3" w:rsidP="00032ABE">
            <w:r w:rsidRPr="00E07D15">
              <w:t xml:space="preserve">£79 an hour         </w:t>
            </w:r>
          </w:p>
        </w:tc>
      </w:tr>
    </w:tbl>
    <w:p w:rsidR="00D15894" w:rsidRPr="00D15894" w:rsidRDefault="00D15894" w:rsidP="00A71B44">
      <w:pPr>
        <w:spacing w:after="0"/>
        <w:rPr>
          <w:b/>
        </w:rPr>
      </w:pPr>
    </w:p>
    <w:p w:rsidR="00ED5257" w:rsidRDefault="003141E4" w:rsidP="00A71B44">
      <w:pPr>
        <w:spacing w:after="0"/>
      </w:pPr>
      <w:r>
        <w:t>The typical cost of</w:t>
      </w:r>
      <w:r w:rsidR="00ED5257">
        <w:t xml:space="preserve"> bringing and defending claims for unfair dismissal are as follows:</w:t>
      </w:r>
    </w:p>
    <w:p w:rsidR="00ED5257" w:rsidRDefault="00ED5257" w:rsidP="00A71B44">
      <w:pPr>
        <w:spacing w:after="0"/>
      </w:pPr>
    </w:p>
    <w:p w:rsidR="00BE00EE" w:rsidRDefault="00BE00EE" w:rsidP="00A71B44">
      <w:pPr>
        <w:spacing w:after="0"/>
      </w:pPr>
      <w:r>
        <w:t>Simple cases: £1,000 - £6,000 (excluding VAT)</w:t>
      </w:r>
    </w:p>
    <w:p w:rsidR="00BE00EE" w:rsidRDefault="00BE00EE" w:rsidP="00A71B44">
      <w:pPr>
        <w:spacing w:after="0"/>
      </w:pPr>
    </w:p>
    <w:p w:rsidR="00BE00EE" w:rsidRDefault="00BE00EE" w:rsidP="00A71B44">
      <w:pPr>
        <w:spacing w:after="0"/>
      </w:pPr>
      <w:r>
        <w:t>Complex cases: £10,000 - £20,000 (excluding VAT)</w:t>
      </w:r>
    </w:p>
    <w:p w:rsidR="00ED5257" w:rsidRDefault="00ED5257" w:rsidP="00A71B44">
      <w:pPr>
        <w:spacing w:after="0"/>
      </w:pPr>
    </w:p>
    <w:p w:rsidR="00ED5257" w:rsidRDefault="00ED5257" w:rsidP="00A71B44">
      <w:pPr>
        <w:spacing w:after="0"/>
      </w:pPr>
      <w:r>
        <w:t>Factors that could make a case more complex</w:t>
      </w:r>
      <w:r w:rsidR="00BE00EE">
        <w:t xml:space="preserve"> that could exceed the amounts referred to above</w:t>
      </w:r>
      <w:r>
        <w:t xml:space="preserve"> include the following:</w:t>
      </w:r>
    </w:p>
    <w:p w:rsidR="00ED5257" w:rsidRDefault="00ED5257" w:rsidP="00A71B44">
      <w:pPr>
        <w:spacing w:after="0"/>
      </w:pPr>
    </w:p>
    <w:p w:rsidR="00ED5257" w:rsidRPr="00C4133A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If it is necessary to defend applications to amend claims</w:t>
      </w:r>
    </w:p>
    <w:p w:rsidR="00ED5257" w:rsidRPr="00C4133A" w:rsidRDefault="00ED5257" w:rsidP="00C4133A">
      <w:pPr>
        <w:pStyle w:val="ListParagraph"/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 xml:space="preserve"> </w:t>
      </w:r>
    </w:p>
    <w:p w:rsidR="00C462C6" w:rsidRPr="007E5BC2" w:rsidRDefault="00ED5257" w:rsidP="00C462C6">
      <w:pPr>
        <w:pStyle w:val="ListParagraph"/>
        <w:numPr>
          <w:ilvl w:val="0"/>
          <w:numId w:val="11"/>
        </w:numPr>
      </w:pPr>
      <w:r w:rsidRPr="00C4133A">
        <w:rPr>
          <w:rFonts w:ascii="Arial" w:hAnsi="Arial" w:cs="Arial"/>
          <w:sz w:val="24"/>
          <w:szCs w:val="24"/>
        </w:rPr>
        <w:lastRenderedPageBreak/>
        <w:t>Defending claims that are brought by litigants in person (i</w:t>
      </w:r>
      <w:r w:rsidR="003141E4">
        <w:rPr>
          <w:rFonts w:ascii="Arial" w:hAnsi="Arial" w:cs="Arial"/>
          <w:sz w:val="24"/>
          <w:szCs w:val="24"/>
        </w:rPr>
        <w:t>.</w:t>
      </w:r>
      <w:r w:rsidRPr="00C4133A">
        <w:rPr>
          <w:rFonts w:ascii="Arial" w:hAnsi="Arial" w:cs="Arial"/>
          <w:sz w:val="24"/>
          <w:szCs w:val="24"/>
        </w:rPr>
        <w:t>e</w:t>
      </w:r>
      <w:r w:rsidR="003141E4">
        <w:rPr>
          <w:rFonts w:ascii="Arial" w:hAnsi="Arial" w:cs="Arial"/>
          <w:sz w:val="24"/>
          <w:szCs w:val="24"/>
        </w:rPr>
        <w:t>.</w:t>
      </w:r>
      <w:r w:rsidRPr="00C4133A">
        <w:rPr>
          <w:rFonts w:ascii="Arial" w:hAnsi="Arial" w:cs="Arial"/>
          <w:sz w:val="24"/>
          <w:szCs w:val="24"/>
        </w:rPr>
        <w:t xml:space="preserve"> claimants who are not legally represented)</w:t>
      </w:r>
      <w:r w:rsidR="008A012A">
        <w:rPr>
          <w:rFonts w:ascii="Arial" w:hAnsi="Arial" w:cs="Arial"/>
          <w:sz w:val="24"/>
          <w:szCs w:val="24"/>
        </w:rPr>
        <w:br/>
      </w:r>
    </w:p>
    <w:p w:rsidR="00ED5257" w:rsidRPr="00C4133A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Making or defending a costs application</w:t>
      </w:r>
    </w:p>
    <w:p w:rsidR="00ED5257" w:rsidRPr="00C4133A" w:rsidRDefault="00ED525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ED5257" w:rsidRPr="00C4133A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Complex preliminary issues such as whether the claimant is disabled (if this is not agreed by the parties)</w:t>
      </w:r>
    </w:p>
    <w:p w:rsidR="00ED5257" w:rsidRPr="00C4133A" w:rsidRDefault="00ED525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ED5257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The number of witnesses and documents</w:t>
      </w:r>
    </w:p>
    <w:p w:rsidR="003141E4" w:rsidRPr="00C4133A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ED5257" w:rsidRPr="00ED5257" w:rsidRDefault="00ED5257" w:rsidP="00C4133A">
      <w:pPr>
        <w:pStyle w:val="ListParagraph"/>
        <w:numPr>
          <w:ilvl w:val="0"/>
          <w:numId w:val="11"/>
        </w:numPr>
      </w:pPr>
      <w:r w:rsidRPr="00ED5257">
        <w:rPr>
          <w:rFonts w:ascii="Arial" w:hAnsi="Arial" w:cs="Arial"/>
          <w:sz w:val="24"/>
          <w:szCs w:val="24"/>
        </w:rPr>
        <w:t>Allegations of discrimination which are linked to the dismissal</w:t>
      </w:r>
      <w:r w:rsidR="00D73F24">
        <w:rPr>
          <w:rFonts w:ascii="Arial" w:hAnsi="Arial" w:cs="Arial"/>
          <w:sz w:val="24"/>
          <w:szCs w:val="24"/>
        </w:rPr>
        <w:t>.</w:t>
      </w:r>
    </w:p>
    <w:p w:rsidR="00ED5257" w:rsidRDefault="00ED5257" w:rsidP="00A71B44">
      <w:pPr>
        <w:spacing w:after="0"/>
      </w:pPr>
    </w:p>
    <w:p w:rsidR="00ED5257" w:rsidRDefault="00ED5257" w:rsidP="00C4133A">
      <w:pPr>
        <w:spacing w:after="0"/>
        <w:jc w:val="both"/>
      </w:pPr>
      <w:r>
        <w:t>The length of the hearing will also depend on the complexity of the case and therefore a more complex case will require the Employment Tribunal to schedule to the hearing for more days</w:t>
      </w:r>
      <w:r w:rsidR="003141E4">
        <w:t xml:space="preserve"> which will increase the cost</w:t>
      </w:r>
      <w:r>
        <w:t>.</w:t>
      </w:r>
    </w:p>
    <w:p w:rsidR="00ED5257" w:rsidRDefault="00ED5257" w:rsidP="00C4133A">
      <w:pPr>
        <w:spacing w:after="0"/>
        <w:jc w:val="both"/>
      </w:pPr>
    </w:p>
    <w:p w:rsidR="00ED5257" w:rsidRDefault="00862943" w:rsidP="00C4133A">
      <w:pPr>
        <w:spacing w:after="0"/>
        <w:jc w:val="both"/>
      </w:pPr>
      <w:r>
        <w:t>Y</w:t>
      </w:r>
      <w:r w:rsidR="007B5AB4">
        <w:t xml:space="preserve">ou </w:t>
      </w:r>
      <w:r w:rsidR="00ED5257">
        <w:t xml:space="preserve">may also </w:t>
      </w:r>
      <w:r w:rsidR="007B5AB4">
        <w:t xml:space="preserve">require a </w:t>
      </w:r>
      <w:r w:rsidR="007B5AB4" w:rsidRPr="00B06D86">
        <w:t>barrister</w:t>
      </w:r>
      <w:r>
        <w:t xml:space="preserve"> i</w:t>
      </w:r>
      <w:r w:rsidR="00DB6600">
        <w:t>f</w:t>
      </w:r>
      <w:r>
        <w:t xml:space="preserve"> the case goes to </w:t>
      </w:r>
      <w:r w:rsidR="003141E4">
        <w:t>T</w:t>
      </w:r>
      <w:r w:rsidR="00ED5257">
        <w:t>ribunal</w:t>
      </w:r>
      <w:r w:rsidR="00B627CD">
        <w:t xml:space="preserve">. </w:t>
      </w:r>
      <w:r w:rsidR="00ED5257">
        <w:t xml:space="preserve">  </w:t>
      </w:r>
      <w:r w:rsidR="003141E4">
        <w:t>This is a d</w:t>
      </w:r>
      <w:r w:rsidR="00ED5257">
        <w:t>isbursement</w:t>
      </w:r>
      <w:r w:rsidR="003141E4">
        <w:t xml:space="preserve"> cost.  Disbursement costs</w:t>
      </w:r>
      <w:r w:rsidR="00ED5257">
        <w:t xml:space="preserve"> are costs related to your matter that are payable to third parties including costs to barristers.  We handle the payment of the disbursements on your behalf to ensure a smoother process.</w:t>
      </w:r>
    </w:p>
    <w:p w:rsidR="00ED5257" w:rsidRDefault="00ED5257" w:rsidP="00C4133A">
      <w:pPr>
        <w:spacing w:after="0"/>
        <w:jc w:val="both"/>
      </w:pPr>
    </w:p>
    <w:p w:rsidR="00DB6600" w:rsidRDefault="003141E4" w:rsidP="00C4133A">
      <w:pPr>
        <w:spacing w:after="0"/>
        <w:jc w:val="both"/>
      </w:pPr>
      <w:r>
        <w:t>Barrister</w:t>
      </w:r>
      <w:r w:rsidR="00BE00EE">
        <w:t>s</w:t>
      </w:r>
      <w:r>
        <w:t>’</w:t>
      </w:r>
      <w:r w:rsidR="00ED5257">
        <w:t xml:space="preserve"> fees </w:t>
      </w:r>
      <w:r w:rsidR="001C4386">
        <w:t xml:space="preserve">are on average </w:t>
      </w:r>
      <w:r w:rsidR="00ED5257">
        <w:t>estimated between £</w:t>
      </w:r>
      <w:r w:rsidR="00BE00EE">
        <w:t>750</w:t>
      </w:r>
      <w:r w:rsidR="00ED5257">
        <w:t xml:space="preserve"> to £</w:t>
      </w:r>
      <w:r w:rsidR="00BE00EE">
        <w:t>3,000</w:t>
      </w:r>
      <w:r w:rsidR="00ED5257">
        <w:t xml:space="preserve"> per day (depending on the experience of the barrister) for attending a Tribunal Hearing (including </w:t>
      </w:r>
      <w:r>
        <w:t xml:space="preserve">the </w:t>
      </w:r>
      <w:r w:rsidR="00ED5257">
        <w:t>preparation</w:t>
      </w:r>
      <w:r>
        <w:t xml:space="preserve"> for such hearing</w:t>
      </w:r>
      <w:r w:rsidR="00ED5257">
        <w:t xml:space="preserve">). </w:t>
      </w:r>
    </w:p>
    <w:p w:rsidR="00B11AD6" w:rsidRDefault="00B11AD6" w:rsidP="00A71B44">
      <w:pPr>
        <w:spacing w:after="0"/>
      </w:pPr>
    </w:p>
    <w:p w:rsidR="00D15894" w:rsidRDefault="00D15894" w:rsidP="00A71B44">
      <w:pPr>
        <w:spacing w:after="0"/>
        <w:rPr>
          <w:b/>
        </w:rPr>
      </w:pPr>
      <w:r>
        <w:rPr>
          <w:b/>
        </w:rPr>
        <w:t>VAT</w:t>
      </w:r>
    </w:p>
    <w:p w:rsidR="00D15894" w:rsidRPr="00D15894" w:rsidRDefault="00DB0500" w:rsidP="00D15894">
      <w:pPr>
        <w:shd w:val="clear" w:color="auto" w:fill="FFFFFF"/>
        <w:spacing w:after="150" w:line="375" w:lineRule="atLeast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T</w:t>
      </w:r>
      <w:r w:rsidR="00D15894" w:rsidRPr="00D15894">
        <w:rPr>
          <w:rFonts w:eastAsia="Times New Roman"/>
          <w:color w:val="333333"/>
          <w:lang w:eastAsia="en-GB"/>
        </w:rPr>
        <w:t>he above costs and disbursements attract VAT at the rate of 20%</w:t>
      </w:r>
      <w:r w:rsidR="00D15894">
        <w:rPr>
          <w:rFonts w:eastAsia="Times New Roman"/>
          <w:color w:val="333333"/>
          <w:lang w:eastAsia="en-GB"/>
        </w:rPr>
        <w:t>vat</w:t>
      </w:r>
      <w:r w:rsidR="00D15894" w:rsidRPr="00D15894">
        <w:rPr>
          <w:rFonts w:eastAsia="Times New Roman"/>
          <w:color w:val="333333"/>
          <w:lang w:eastAsia="en-GB"/>
        </w:rPr>
        <w:t>.</w:t>
      </w:r>
    </w:p>
    <w:p w:rsidR="00D15894" w:rsidRDefault="00D15894" w:rsidP="00A71B44">
      <w:pPr>
        <w:spacing w:after="0"/>
        <w:rPr>
          <w:b/>
        </w:rPr>
      </w:pPr>
    </w:p>
    <w:p w:rsidR="00B11AD6" w:rsidRDefault="00B11AD6" w:rsidP="00A71B44">
      <w:pPr>
        <w:spacing w:after="0"/>
        <w:rPr>
          <w:b/>
        </w:rPr>
      </w:pPr>
      <w:r>
        <w:rPr>
          <w:b/>
        </w:rPr>
        <w:t>Key stages</w:t>
      </w:r>
    </w:p>
    <w:p w:rsidR="00B11AD6" w:rsidRDefault="00B11AD6" w:rsidP="00A71B44">
      <w:pPr>
        <w:spacing w:after="0"/>
        <w:rPr>
          <w:b/>
        </w:rPr>
      </w:pPr>
    </w:p>
    <w:p w:rsidR="00B11AD6" w:rsidRDefault="00B11AD6" w:rsidP="00A71B44">
      <w:pPr>
        <w:spacing w:after="0"/>
      </w:pPr>
      <w:r>
        <w:t>The</w:t>
      </w:r>
      <w:r w:rsidR="003141E4">
        <w:t xml:space="preserve"> estimated</w:t>
      </w:r>
      <w:r>
        <w:t xml:space="preserve"> fees set out above cover all of the work in relation to the following key stages of a claim:</w:t>
      </w:r>
    </w:p>
    <w:p w:rsidR="00B11AD6" w:rsidRDefault="00B11AD6" w:rsidP="00A71B44">
      <w:pPr>
        <w:spacing w:after="0"/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Taking your initial instructions, reviewing the papers and advising you on merits and likely compensation (this is likely to be revisited throughout the matter and subject to change)</w:t>
      </w:r>
    </w:p>
    <w:p w:rsidR="00B11AD6" w:rsidRPr="00C4133A" w:rsidRDefault="00B11AD6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lastRenderedPageBreak/>
        <w:t>Entering into pre-claim conciliation where this is mandatory to explore whether a settlement can be reached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Preparing the response to the claim and lodging this at tribunal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Reviewing and advising on the claim from the other party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Exploring settlement and negotiating settlement throughout the process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Considering a schedule of loss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Preparing for (and attending) a preliminary hearing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Exchanging documents with the other party and agreeing a bundle of documents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Taking witness statements, drafting statements and agreeing their content with witnesses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3141E4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Preparing the bundle of documents for use at the final hearing</w:t>
      </w:r>
    </w:p>
    <w:p w:rsidR="00B11AD6" w:rsidRPr="00C4133A" w:rsidRDefault="00B11AD6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Reviewing and advising on the other party’s witness statements</w:t>
      </w:r>
    </w:p>
    <w:p w:rsidR="003667D7" w:rsidRPr="00C4133A" w:rsidRDefault="003667D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Agreeing a list of issues, a chronology and/or cast list</w:t>
      </w:r>
    </w:p>
    <w:p w:rsidR="003667D7" w:rsidRPr="00C4133A" w:rsidRDefault="003667D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</w:pPr>
      <w:r w:rsidRPr="00C4133A">
        <w:rPr>
          <w:rFonts w:ascii="Arial" w:hAnsi="Arial" w:cs="Arial"/>
          <w:sz w:val="24"/>
          <w:szCs w:val="24"/>
        </w:rPr>
        <w:t>Preparation and attendance at the final hearing, including instructions to the barristers.</w:t>
      </w:r>
    </w:p>
    <w:p w:rsidR="00D73F24" w:rsidRDefault="00D73F24" w:rsidP="00B11AD6"/>
    <w:p w:rsidR="00B11AD6" w:rsidRDefault="00B11AD6" w:rsidP="00B11AD6">
      <w:r>
        <w:t xml:space="preserve">The stages set out above are an indication </w:t>
      </w:r>
      <w:r w:rsidR="000B5BCC">
        <w:t xml:space="preserve">of some of the typical stages of a claim of this type </w:t>
      </w:r>
      <w:r>
        <w:t>and if some of the stages above are not required, the fee will be reduced.  You may wish to handle</w:t>
      </w:r>
      <w:r w:rsidR="001C4386">
        <w:t xml:space="preserve"> defending</w:t>
      </w:r>
      <w:r>
        <w:t xml:space="preserve"> the claim yourself and only have our advice in relation to some of the stage</w:t>
      </w:r>
      <w:r w:rsidR="001C4386">
        <w:t>s</w:t>
      </w:r>
      <w:r>
        <w:t>.  This can also be arranged on your</w:t>
      </w:r>
      <w:r w:rsidR="001C4386">
        <w:t xml:space="preserve"> individual </w:t>
      </w:r>
      <w:r>
        <w:t>organisation’s needs.</w:t>
      </w:r>
    </w:p>
    <w:p w:rsidR="00B11AD6" w:rsidRDefault="00B11AD6" w:rsidP="00B11AD6">
      <w:pPr>
        <w:rPr>
          <w:b/>
        </w:rPr>
      </w:pPr>
      <w:r>
        <w:rPr>
          <w:b/>
        </w:rPr>
        <w:t>How long will my matter take?</w:t>
      </w:r>
    </w:p>
    <w:p w:rsidR="00B11AD6" w:rsidRDefault="00B11AD6" w:rsidP="00C4133A">
      <w:pPr>
        <w:jc w:val="both"/>
      </w:pPr>
      <w:r>
        <w:t xml:space="preserve">The time that it takes from taking your initial instructions to the final resolution of your matter depends largely on the stage at which your case is resolved.  If a settlement is reached during pre-claim conciliation, your case is likely to take approximately </w:t>
      </w:r>
      <w:r w:rsidRPr="00E31360">
        <w:t>4-6</w:t>
      </w:r>
      <w:r>
        <w:t xml:space="preserve"> weeks.  If the claim proceeds to a final hearing your case is likely to take 3 – 12 months.  </w:t>
      </w:r>
      <w:r>
        <w:lastRenderedPageBreak/>
        <w:t>This is just an estimate and will also depend when the Employment Tribunal schedule the final hearing.  We will of course be able to give you a more accurate timescale once we have more information and as the matter progresses.</w:t>
      </w:r>
    </w:p>
    <w:p w:rsidR="00B11AD6" w:rsidRDefault="00B11AD6" w:rsidP="00B11AD6"/>
    <w:p w:rsidR="00B11AD6" w:rsidRPr="00B11AD6" w:rsidRDefault="00B11AD6" w:rsidP="00C4133A"/>
    <w:sectPr w:rsidR="00B11AD6" w:rsidRPr="00B11AD6" w:rsidSect="007A64F3">
      <w:type w:val="continuous"/>
      <w:pgSz w:w="11906" w:h="16838"/>
      <w:pgMar w:top="2269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AC" w:rsidRDefault="00D30FAC" w:rsidP="005E7EC0">
      <w:pPr>
        <w:spacing w:after="0" w:line="240" w:lineRule="auto"/>
      </w:pPr>
      <w:r>
        <w:separator/>
      </w:r>
    </w:p>
  </w:endnote>
  <w:endnote w:type="continuationSeparator" w:id="0">
    <w:p w:rsidR="00D30FAC" w:rsidRDefault="00D30FAC" w:rsidP="005E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FA" w:rsidRDefault="005C0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C0" w:rsidRDefault="005E7E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7FDE6C" wp14:editId="4984B644">
          <wp:simplePos x="0" y="0"/>
          <wp:positionH relativeFrom="column">
            <wp:posOffset>-1247775</wp:posOffset>
          </wp:positionH>
          <wp:positionV relativeFrom="paragraph">
            <wp:posOffset>-1094740</wp:posOffset>
          </wp:positionV>
          <wp:extent cx="8230235" cy="2060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235" cy="206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FA" w:rsidRDefault="005C0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AC" w:rsidRDefault="00D30FAC" w:rsidP="005E7EC0">
      <w:pPr>
        <w:spacing w:after="0" w:line="240" w:lineRule="auto"/>
      </w:pPr>
      <w:r>
        <w:separator/>
      </w:r>
    </w:p>
  </w:footnote>
  <w:footnote w:type="continuationSeparator" w:id="0">
    <w:p w:rsidR="00D30FAC" w:rsidRDefault="00D30FAC" w:rsidP="005E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FA" w:rsidRDefault="005C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D0" w:rsidRDefault="003865D0" w:rsidP="003865D0">
    <w:pPr>
      <w:spacing w:after="0"/>
      <w:rPr>
        <w:b/>
        <w:sz w:val="32"/>
      </w:rPr>
    </w:pPr>
    <w:r w:rsidRPr="003865D0"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20FA4E1A" wp14:editId="3D92F2F8">
          <wp:simplePos x="0" y="0"/>
          <wp:positionH relativeFrom="column">
            <wp:posOffset>4019550</wp:posOffset>
          </wp:positionH>
          <wp:positionV relativeFrom="paragraph">
            <wp:posOffset>-457200</wp:posOffset>
          </wp:positionV>
          <wp:extent cx="1810385" cy="1810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5D0" w:rsidRDefault="003865D0" w:rsidP="003865D0">
    <w:pPr>
      <w:spacing w:after="0"/>
      <w:rPr>
        <w:b/>
        <w:sz w:val="32"/>
      </w:rPr>
    </w:pPr>
    <w:r w:rsidRPr="003865D0">
      <w:rPr>
        <w:b/>
        <w:sz w:val="32"/>
      </w:rPr>
      <w:t xml:space="preserve">Guide to Employment Tribunal </w:t>
    </w:r>
    <w:r>
      <w:rPr>
        <w:b/>
        <w:sz w:val="32"/>
      </w:rPr>
      <w:t>fees</w:t>
    </w:r>
  </w:p>
  <w:p w:rsidR="003865D0" w:rsidRPr="003865D0" w:rsidRDefault="003865D0" w:rsidP="003865D0">
    <w:pPr>
      <w:spacing w:after="0"/>
      <w:rPr>
        <w:b/>
        <w:sz w:val="32"/>
      </w:rPr>
    </w:pPr>
    <w:r>
      <w:rPr>
        <w:b/>
        <w:sz w:val="32"/>
      </w:rPr>
      <w:t xml:space="preserve">for </w:t>
    </w:r>
    <w:r w:rsidRPr="003865D0">
      <w:rPr>
        <w:b/>
        <w:sz w:val="32"/>
      </w:rPr>
      <w:t>business</w:t>
    </w:r>
  </w:p>
  <w:p w:rsidR="005E7EC0" w:rsidRDefault="005E7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FA" w:rsidRDefault="005C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650"/>
    <w:multiLevelType w:val="hybridMultilevel"/>
    <w:tmpl w:val="6550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7C87"/>
    <w:multiLevelType w:val="multilevel"/>
    <w:tmpl w:val="51C68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DD672A"/>
    <w:multiLevelType w:val="multilevel"/>
    <w:tmpl w:val="17E4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A63E96"/>
    <w:multiLevelType w:val="hybridMultilevel"/>
    <w:tmpl w:val="9A7A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9271C"/>
    <w:multiLevelType w:val="hybridMultilevel"/>
    <w:tmpl w:val="4116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2B10"/>
    <w:multiLevelType w:val="hybridMultilevel"/>
    <w:tmpl w:val="7A46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4759"/>
    <w:multiLevelType w:val="hybridMultilevel"/>
    <w:tmpl w:val="BDEA5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FC45D7"/>
    <w:multiLevelType w:val="hybridMultilevel"/>
    <w:tmpl w:val="741CF28E"/>
    <w:lvl w:ilvl="0" w:tplc="9BC433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A4F"/>
    <w:multiLevelType w:val="hybridMultilevel"/>
    <w:tmpl w:val="36A4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0BB9"/>
    <w:multiLevelType w:val="hybridMultilevel"/>
    <w:tmpl w:val="ED7C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A189B"/>
    <w:multiLevelType w:val="hybridMultilevel"/>
    <w:tmpl w:val="4244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9E612E7-C175-481A-A67B-EBB64EA159F0}"/>
    <w:docVar w:name="dgnword-eventsink" w:val="186490456"/>
  </w:docVars>
  <w:rsids>
    <w:rsidRoot w:val="005E7EC0"/>
    <w:rsid w:val="0000095A"/>
    <w:rsid w:val="000B5BCC"/>
    <w:rsid w:val="00117B9E"/>
    <w:rsid w:val="001C4386"/>
    <w:rsid w:val="00202964"/>
    <w:rsid w:val="00267D18"/>
    <w:rsid w:val="00267DA2"/>
    <w:rsid w:val="00284E39"/>
    <w:rsid w:val="002B6C77"/>
    <w:rsid w:val="002E61AB"/>
    <w:rsid w:val="003141E4"/>
    <w:rsid w:val="003667D7"/>
    <w:rsid w:val="003865D0"/>
    <w:rsid w:val="003B25E0"/>
    <w:rsid w:val="003F08C7"/>
    <w:rsid w:val="004725A6"/>
    <w:rsid w:val="004C02F0"/>
    <w:rsid w:val="00514204"/>
    <w:rsid w:val="005C0CFA"/>
    <w:rsid w:val="005E7EC0"/>
    <w:rsid w:val="00637CCC"/>
    <w:rsid w:val="00697116"/>
    <w:rsid w:val="006C5391"/>
    <w:rsid w:val="006C790D"/>
    <w:rsid w:val="006E182F"/>
    <w:rsid w:val="006E2A4E"/>
    <w:rsid w:val="00737901"/>
    <w:rsid w:val="00771D5B"/>
    <w:rsid w:val="007A64F3"/>
    <w:rsid w:val="007B5AB4"/>
    <w:rsid w:val="007C6567"/>
    <w:rsid w:val="007E5BC2"/>
    <w:rsid w:val="00862943"/>
    <w:rsid w:val="00894DF6"/>
    <w:rsid w:val="008A012A"/>
    <w:rsid w:val="008C45C4"/>
    <w:rsid w:val="009064A5"/>
    <w:rsid w:val="009103D4"/>
    <w:rsid w:val="009D36C2"/>
    <w:rsid w:val="00A36FF5"/>
    <w:rsid w:val="00A71B44"/>
    <w:rsid w:val="00AD5241"/>
    <w:rsid w:val="00B06D86"/>
    <w:rsid w:val="00B11AD6"/>
    <w:rsid w:val="00B627CD"/>
    <w:rsid w:val="00B6747B"/>
    <w:rsid w:val="00BA32C6"/>
    <w:rsid w:val="00BE00EE"/>
    <w:rsid w:val="00C2462F"/>
    <w:rsid w:val="00C4133A"/>
    <w:rsid w:val="00C462C6"/>
    <w:rsid w:val="00CA3E93"/>
    <w:rsid w:val="00D15894"/>
    <w:rsid w:val="00D30FAC"/>
    <w:rsid w:val="00D73F24"/>
    <w:rsid w:val="00DB0500"/>
    <w:rsid w:val="00DB6600"/>
    <w:rsid w:val="00DF765C"/>
    <w:rsid w:val="00E31360"/>
    <w:rsid w:val="00E46AEE"/>
    <w:rsid w:val="00E65DCF"/>
    <w:rsid w:val="00ED5257"/>
    <w:rsid w:val="00F03699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F01FEA"/>
  <w15:docId w15:val="{B69C3526-7418-4EFD-A161-B139C2BA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C0"/>
  </w:style>
  <w:style w:type="paragraph" w:styleId="Footer">
    <w:name w:val="footer"/>
    <w:basedOn w:val="Normal"/>
    <w:link w:val="FooterChar"/>
    <w:uiPriority w:val="99"/>
    <w:unhideWhenUsed/>
    <w:rsid w:val="005E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C0"/>
  </w:style>
  <w:style w:type="paragraph" w:styleId="BalloonText">
    <w:name w:val="Balloon Text"/>
    <w:basedOn w:val="Normal"/>
    <w:link w:val="BalloonTextChar"/>
    <w:uiPriority w:val="99"/>
    <w:semiHidden/>
    <w:unhideWhenUsed/>
    <w:rsid w:val="005E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AEE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2964"/>
    <w:rPr>
      <w:strike w:val="0"/>
      <w:dstrike w:val="0"/>
      <w:color w:val="005A84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02964"/>
    <w:rPr>
      <w:i/>
      <w:iCs/>
    </w:rPr>
  </w:style>
  <w:style w:type="character" w:styleId="Strong">
    <w:name w:val="Strong"/>
    <w:basedOn w:val="DefaultParagraphFont"/>
    <w:uiPriority w:val="22"/>
    <w:qFormat/>
    <w:rsid w:val="00202964"/>
    <w:rPr>
      <w:b/>
      <w:bCs/>
    </w:rPr>
  </w:style>
  <w:style w:type="character" w:customStyle="1" w:styleId="printlink1">
    <w:name w:val="printlink1"/>
    <w:basedOn w:val="DefaultParagraphFont"/>
    <w:rsid w:val="00202964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00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73F2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1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lslegal.org.uk/our-people/emma-thom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3393-2647-4A9A-B0D1-C254A0D5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russell.dolton</dc:creator>
  <cp:lastModifiedBy>Shannon Boden - Business Administration Assistant (ELS)</cp:lastModifiedBy>
  <cp:revision>2</cp:revision>
  <cp:lastPrinted>2018-12-21T08:29:00Z</cp:lastPrinted>
  <dcterms:created xsi:type="dcterms:W3CDTF">2020-10-16T15:34:00Z</dcterms:created>
  <dcterms:modified xsi:type="dcterms:W3CDTF">2020-10-16T15:34:00Z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2020-10-16T12:36:05Z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d54369f7-a437-43e3-898d-0000f067c289</vt:lpwstr>
  </property>
  <property fmtid="{D5CDD505-2E9C-101B-9397-08002B2CF9AE}" pid="8" name="MSIP_Label_39d8be9e-c8d9-4b9c-bd40-2c27cc7ea2e6_ContentBits">
    <vt:lpwstr>0</vt:lpwstr>
  </property>
</Properties>
</file>